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FF7E" w14:textId="77777777" w:rsidR="004D5BD1" w:rsidRPr="004D5BD1" w:rsidRDefault="004D5BD1" w:rsidP="004D5BD1">
      <w:pPr>
        <w:rPr>
          <w:rFonts w:ascii="Times New Roman" w:hAnsi="Times New Roman" w:cs="Times New Roman"/>
          <w:b/>
          <w:bCs/>
          <w:sz w:val="24"/>
          <w:szCs w:val="24"/>
        </w:rPr>
      </w:pPr>
      <w:r w:rsidRPr="004D5BD1">
        <w:rPr>
          <w:rFonts w:ascii="Times New Roman" w:hAnsi="Times New Roman" w:cs="Times New Roman"/>
          <w:b/>
          <w:bCs/>
          <w:sz w:val="24"/>
          <w:szCs w:val="24"/>
        </w:rPr>
        <w:t>Требования, которым должно отвечать жилое помещение</w:t>
      </w:r>
    </w:p>
    <w:p w14:paraId="23D17D56"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14:paraId="36C209C2"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(в ред. </w:t>
      </w:r>
      <w:hyperlink r:id="rId4" w:anchor="dst100019" w:history="1">
        <w:r w:rsidRPr="004D5BD1">
          <w:rPr>
            <w:rStyle w:val="a3"/>
            <w:rFonts w:ascii="Times New Roman" w:hAnsi="Times New Roman" w:cs="Times New Roman"/>
            <w:sz w:val="24"/>
            <w:szCs w:val="24"/>
          </w:rPr>
          <w:t>Постановления</w:t>
        </w:r>
      </w:hyperlink>
      <w:r w:rsidRPr="004D5BD1">
        <w:rPr>
          <w:rFonts w:ascii="Times New Roman" w:hAnsi="Times New Roman" w:cs="Times New Roman"/>
          <w:sz w:val="24"/>
          <w:szCs w:val="24"/>
        </w:rPr>
        <w:t> Правительства РФ от 24.12.2018 N 1653)</w:t>
      </w:r>
    </w:p>
    <w:p w14:paraId="4CFD362F"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(см. текст в предыдущей </w:t>
      </w:r>
      <w:hyperlink r:id="rId5" w:history="1">
        <w:r w:rsidRPr="004D5BD1">
          <w:rPr>
            <w:rStyle w:val="a3"/>
            <w:rFonts w:ascii="Times New Roman" w:hAnsi="Times New Roman" w:cs="Times New Roman"/>
            <w:sz w:val="24"/>
            <w:szCs w:val="24"/>
          </w:rPr>
          <w:t>редакции</w:t>
        </w:r>
      </w:hyperlink>
      <w:r w:rsidRPr="004D5BD1">
        <w:rPr>
          <w:rFonts w:ascii="Times New Roman" w:hAnsi="Times New Roman" w:cs="Times New Roman"/>
          <w:sz w:val="24"/>
          <w:szCs w:val="24"/>
        </w:rPr>
        <w:t>)</w:t>
      </w:r>
    </w:p>
    <w:p w14:paraId="291499B1"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D5BD1">
        <w:rPr>
          <w:rFonts w:ascii="Times New Roman" w:hAnsi="Times New Roman" w:cs="Times New Roman"/>
          <w:sz w:val="24"/>
          <w:szCs w:val="24"/>
        </w:rPr>
        <w:t>деформативности</w:t>
      </w:r>
      <w:proofErr w:type="spellEnd"/>
      <w:r w:rsidRPr="004D5BD1">
        <w:rPr>
          <w:rFonts w:ascii="Times New Roman" w:hAnsi="Times New Roman" w:cs="Times New Roman"/>
          <w:sz w:val="24"/>
          <w:szCs w:val="24"/>
        </w:rPr>
        <w:t xml:space="preserve"> (а в железобетонных конструкциях - в части </w:t>
      </w:r>
      <w:proofErr w:type="spellStart"/>
      <w:r w:rsidRPr="004D5BD1">
        <w:rPr>
          <w:rFonts w:ascii="Times New Roman" w:hAnsi="Times New Roman" w:cs="Times New Roman"/>
          <w:sz w:val="24"/>
          <w:szCs w:val="24"/>
        </w:rPr>
        <w:t>трещиностойкости</w:t>
      </w:r>
      <w:proofErr w:type="spellEnd"/>
      <w:r w:rsidRPr="004D5BD1">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1658F55E"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6DC9D75C"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D5BD1">
        <w:rPr>
          <w:rFonts w:ascii="Times New Roman" w:hAnsi="Times New Roman" w:cs="Times New Roman"/>
          <w:sz w:val="24"/>
          <w:szCs w:val="24"/>
        </w:rPr>
        <w:t>проступей</w:t>
      </w:r>
      <w:proofErr w:type="spellEnd"/>
      <w:r w:rsidRPr="004D5BD1">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7357D7CF"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14:paraId="0BFF15EA"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(в ред. </w:t>
      </w:r>
      <w:hyperlink r:id="rId6" w:anchor="dst100020" w:history="1">
        <w:r w:rsidRPr="004D5BD1">
          <w:rPr>
            <w:rStyle w:val="a3"/>
            <w:rFonts w:ascii="Times New Roman" w:hAnsi="Times New Roman" w:cs="Times New Roman"/>
            <w:sz w:val="24"/>
            <w:szCs w:val="24"/>
          </w:rPr>
          <w:t>Постановления</w:t>
        </w:r>
      </w:hyperlink>
      <w:r w:rsidRPr="004D5BD1">
        <w:rPr>
          <w:rFonts w:ascii="Times New Roman" w:hAnsi="Times New Roman" w:cs="Times New Roman"/>
          <w:sz w:val="24"/>
          <w:szCs w:val="24"/>
        </w:rPr>
        <w:t> Правительства РФ от 24.12.2018 N 1653)</w:t>
      </w:r>
    </w:p>
    <w:p w14:paraId="53F87345"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(см. текст в предыдущей </w:t>
      </w:r>
      <w:hyperlink r:id="rId7" w:history="1">
        <w:r w:rsidRPr="004D5BD1">
          <w:rPr>
            <w:rStyle w:val="a3"/>
            <w:rFonts w:ascii="Times New Roman" w:hAnsi="Times New Roman" w:cs="Times New Roman"/>
            <w:sz w:val="24"/>
            <w:szCs w:val="24"/>
          </w:rPr>
          <w:t>редакции</w:t>
        </w:r>
      </w:hyperlink>
      <w:r w:rsidRPr="004D5BD1">
        <w:rPr>
          <w:rFonts w:ascii="Times New Roman" w:hAnsi="Times New Roman" w:cs="Times New Roman"/>
          <w:sz w:val="24"/>
          <w:szCs w:val="24"/>
        </w:rPr>
        <w:t>)</w:t>
      </w:r>
    </w:p>
    <w:p w14:paraId="7D6AFFEB"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hyperlink r:id="rId8" w:history="1">
        <w:r w:rsidRPr="004D5BD1">
          <w:rPr>
            <w:rStyle w:val="a3"/>
            <w:rFonts w:ascii="Times New Roman" w:hAnsi="Times New Roman" w:cs="Times New Roman"/>
            <w:sz w:val="24"/>
            <w:szCs w:val="24"/>
          </w:rPr>
          <w:t>требованиям</w:t>
        </w:r>
      </w:hyperlink>
      <w:r w:rsidRPr="004D5BD1">
        <w:rPr>
          <w:rFonts w:ascii="Times New Roman" w:hAnsi="Times New Roman" w:cs="Times New Roman"/>
          <w:sz w:val="24"/>
          <w:szCs w:val="24"/>
        </w:rPr>
        <w:t xml:space="preserve"> санитарно-эпидемиологической безопасности. Устройство вентиляционной системы жилых помещений должно исключать поступление воздуха из </w:t>
      </w:r>
      <w:r w:rsidRPr="004D5BD1">
        <w:rPr>
          <w:rFonts w:ascii="Times New Roman" w:hAnsi="Times New Roman" w:cs="Times New Roman"/>
          <w:sz w:val="24"/>
          <w:szCs w:val="24"/>
        </w:rPr>
        <w:lastRenderedPageBreak/>
        <w:t>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0CE8E31E"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14:paraId="5D5DBC68"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hyperlink r:id="rId9" w:history="1">
        <w:r w:rsidRPr="004D5BD1">
          <w:rPr>
            <w:rStyle w:val="a3"/>
            <w:rFonts w:ascii="Times New Roman" w:hAnsi="Times New Roman" w:cs="Times New Roman"/>
            <w:sz w:val="24"/>
            <w:szCs w:val="24"/>
          </w:rPr>
          <w:t>актах</w:t>
        </w:r>
      </w:hyperlink>
      <w:r w:rsidRPr="004D5BD1">
        <w:rPr>
          <w:rFonts w:ascii="Times New Roman" w:hAnsi="Times New Roman" w:cs="Times New Roman"/>
          <w:sz w:val="24"/>
          <w:szCs w:val="24"/>
        </w:rPr>
        <w:t>,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7011B8B2"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w:t>
      </w:r>
      <w:proofErr w:type="spellStart"/>
      <w:r w:rsidRPr="004D5BD1">
        <w:rPr>
          <w:rFonts w:ascii="Times New Roman" w:hAnsi="Times New Roman" w:cs="Times New Roman"/>
          <w:sz w:val="24"/>
          <w:szCs w:val="24"/>
        </w:rPr>
        <w:t>несветопрозрачных</w:t>
      </w:r>
      <w:proofErr w:type="spellEnd"/>
      <w:r w:rsidRPr="004D5BD1">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14:paraId="72E77979"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352C1E0E"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7889C5BD"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5873EEE0"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w:t>
      </w:r>
      <w:proofErr w:type="spellStart"/>
      <w:r w:rsidRPr="004D5BD1">
        <w:rPr>
          <w:rFonts w:ascii="Times New Roman" w:hAnsi="Times New Roman" w:cs="Times New Roman"/>
          <w:sz w:val="24"/>
          <w:szCs w:val="24"/>
        </w:rPr>
        <w:t>шумо</w:t>
      </w:r>
      <w:proofErr w:type="spellEnd"/>
      <w:r w:rsidRPr="004D5BD1">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729FF418"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7D642C0F"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lastRenderedPageBreak/>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0" w:anchor="dst156902" w:history="1">
        <w:r w:rsidRPr="004D5BD1">
          <w:rPr>
            <w:rStyle w:val="a3"/>
            <w:rFonts w:ascii="Times New Roman" w:hAnsi="Times New Roman" w:cs="Times New Roman"/>
            <w:sz w:val="24"/>
            <w:szCs w:val="24"/>
          </w:rPr>
          <w:t>санитарным нормам</w:t>
        </w:r>
      </w:hyperlink>
      <w:r w:rsidRPr="004D5BD1">
        <w:rPr>
          <w:rFonts w:ascii="Times New Roman" w:hAnsi="Times New Roman" w:cs="Times New Roman"/>
          <w:sz w:val="24"/>
          <w:szCs w:val="24"/>
        </w:rPr>
        <w:t>. Коэффициент естественной освещенности в комнатах и кухнях должен быть не менее 0,5 процента в середине жилого помещения.</w:t>
      </w:r>
    </w:p>
    <w:p w14:paraId="06FB38A9"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22. Высота (от пола до потолка) комнат и кухни (кухни-столовой) в климатических районах IА, IБ, IГ, IД и </w:t>
      </w:r>
      <w:proofErr w:type="spellStart"/>
      <w:r w:rsidRPr="004D5BD1">
        <w:rPr>
          <w:rFonts w:ascii="Times New Roman" w:hAnsi="Times New Roman" w:cs="Times New Roman"/>
          <w:sz w:val="24"/>
          <w:szCs w:val="24"/>
        </w:rPr>
        <w:t>IVа</w:t>
      </w:r>
      <w:proofErr w:type="spellEnd"/>
      <w:r w:rsidRPr="004D5BD1">
        <w:rPr>
          <w:rFonts w:ascii="Times New Roman" w:hAnsi="Times New Roman" w:cs="Times New Roman"/>
          <w:sz w:val="24"/>
          <w:szCs w:val="24"/>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14:paraId="6EB94C96"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23. Отметка пола жилого помещения, расположенного на первом этаже, должна быть выше планировочной отметки земли.</w:t>
      </w:r>
    </w:p>
    <w:p w14:paraId="55BC023D"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Размещение жилого помещения в подвальном и цокольном этажах не допускается.</w:t>
      </w:r>
    </w:p>
    <w:p w14:paraId="28AEBFCB"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53009C39"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25. Комнаты и кухни в жилом помещении должны иметь непосредственное естественное освещение.</w:t>
      </w:r>
    </w:p>
    <w:p w14:paraId="59760980"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14:paraId="205768B1"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11" w:anchor="dst100137" w:history="1">
        <w:r w:rsidRPr="004D5BD1">
          <w:rPr>
            <w:rStyle w:val="a3"/>
            <w:rFonts w:ascii="Times New Roman" w:hAnsi="Times New Roman" w:cs="Times New Roman"/>
            <w:sz w:val="24"/>
            <w:szCs w:val="24"/>
          </w:rPr>
          <w:t>актах</w:t>
        </w:r>
      </w:hyperlink>
      <w:r w:rsidRPr="004D5BD1">
        <w:rPr>
          <w:rFonts w:ascii="Times New Roman" w:hAnsi="Times New Roman" w:cs="Times New Roman"/>
          <w:sz w:val="24"/>
          <w:szCs w:val="24"/>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4D5BD1">
        <w:rPr>
          <w:rFonts w:ascii="Times New Roman" w:hAnsi="Times New Roman" w:cs="Times New Roman"/>
          <w:sz w:val="24"/>
          <w:szCs w:val="24"/>
        </w:rPr>
        <w:t>дБА</w:t>
      </w:r>
      <w:proofErr w:type="spellEnd"/>
      <w:r w:rsidRPr="004D5BD1">
        <w:rPr>
          <w:rFonts w:ascii="Times New Roman" w:hAnsi="Times New Roman" w:cs="Times New Roman"/>
          <w:sz w:val="24"/>
          <w:szCs w:val="24"/>
        </w:rPr>
        <w:t xml:space="preserve"> указанных уровней в дневное и ночное время суток.</w:t>
      </w:r>
    </w:p>
    <w:p w14:paraId="54580513"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14:paraId="4FC77B46"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14:paraId="32D1104F"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14:paraId="196B8569"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lastRenderedPageBreak/>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2" w:anchor="dst100137" w:history="1">
        <w:r w:rsidRPr="004D5BD1">
          <w:rPr>
            <w:rStyle w:val="a3"/>
            <w:rFonts w:ascii="Times New Roman" w:hAnsi="Times New Roman" w:cs="Times New Roman"/>
            <w:sz w:val="24"/>
            <w:szCs w:val="24"/>
          </w:rPr>
          <w:t>актах</w:t>
        </w:r>
      </w:hyperlink>
      <w:r w:rsidRPr="004D5BD1">
        <w:rPr>
          <w:rFonts w:ascii="Times New Roman" w:hAnsi="Times New Roman" w:cs="Times New Roman"/>
          <w:sz w:val="24"/>
          <w:szCs w:val="24"/>
        </w:rPr>
        <w:t>.</w:t>
      </w:r>
    </w:p>
    <w:p w14:paraId="4CE9D766"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14:paraId="41F93E1E"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(п. 30 в ред. </w:t>
      </w:r>
      <w:hyperlink r:id="rId13" w:anchor="dst100019" w:history="1">
        <w:r w:rsidRPr="004D5BD1">
          <w:rPr>
            <w:rStyle w:val="a3"/>
            <w:rFonts w:ascii="Times New Roman" w:hAnsi="Times New Roman" w:cs="Times New Roman"/>
            <w:sz w:val="24"/>
            <w:szCs w:val="24"/>
          </w:rPr>
          <w:t>Постановления</w:t>
        </w:r>
      </w:hyperlink>
      <w:r w:rsidRPr="004D5BD1">
        <w:rPr>
          <w:rFonts w:ascii="Times New Roman" w:hAnsi="Times New Roman" w:cs="Times New Roman"/>
          <w:sz w:val="24"/>
          <w:szCs w:val="24"/>
        </w:rPr>
        <w:t> Правительства РФ от 02.08.2016 N 746)</w:t>
      </w:r>
    </w:p>
    <w:p w14:paraId="11D0EB7A"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(см. текст в предыдущей </w:t>
      </w:r>
      <w:hyperlink r:id="rId14" w:history="1">
        <w:r w:rsidRPr="004D5BD1">
          <w:rPr>
            <w:rStyle w:val="a3"/>
            <w:rFonts w:ascii="Times New Roman" w:hAnsi="Times New Roman" w:cs="Times New Roman"/>
            <w:sz w:val="24"/>
            <w:szCs w:val="24"/>
          </w:rPr>
          <w:t>редакции</w:t>
        </w:r>
      </w:hyperlink>
      <w:r w:rsidRPr="004D5BD1">
        <w:rPr>
          <w:rFonts w:ascii="Times New Roman" w:hAnsi="Times New Roman" w:cs="Times New Roman"/>
          <w:sz w:val="24"/>
          <w:szCs w:val="24"/>
        </w:rPr>
        <w:t>)</w:t>
      </w:r>
    </w:p>
    <w:p w14:paraId="16E67459"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D5BD1">
        <w:rPr>
          <w:rFonts w:ascii="Times New Roman" w:hAnsi="Times New Roman" w:cs="Times New Roman"/>
          <w:sz w:val="24"/>
          <w:szCs w:val="24"/>
        </w:rPr>
        <w:t>мкЗв</w:t>
      </w:r>
      <w:proofErr w:type="spellEnd"/>
      <w:r w:rsidRPr="004D5BD1">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220A49AF" w14:textId="77777777" w:rsidR="004D5BD1" w:rsidRPr="004D5BD1" w:rsidRDefault="004D5BD1" w:rsidP="004D5BD1">
      <w:pPr>
        <w:rPr>
          <w:rFonts w:ascii="Times New Roman" w:hAnsi="Times New Roman" w:cs="Times New Roman"/>
          <w:sz w:val="24"/>
          <w:szCs w:val="24"/>
        </w:rPr>
      </w:pPr>
      <w:r w:rsidRPr="004D5BD1">
        <w:rPr>
          <w:rFonts w:ascii="Times New Roman" w:hAnsi="Times New Roman" w:cs="Times New Roman"/>
          <w:sz w:val="24"/>
          <w:szCs w:val="24"/>
        </w:rPr>
        <w:t>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5" w:anchor="dst100139" w:history="1">
        <w:r w:rsidRPr="004D5BD1">
          <w:rPr>
            <w:rStyle w:val="a3"/>
            <w:rFonts w:ascii="Times New Roman" w:hAnsi="Times New Roman" w:cs="Times New Roman"/>
            <w:sz w:val="24"/>
            <w:szCs w:val="24"/>
          </w:rPr>
          <w:t>актах</w:t>
        </w:r>
      </w:hyperlink>
      <w:r w:rsidRPr="004D5BD1">
        <w:rPr>
          <w:rFonts w:ascii="Times New Roman" w:hAnsi="Times New Roman" w:cs="Times New Roman"/>
          <w:sz w:val="24"/>
          <w:szCs w:val="24"/>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14:paraId="0004CC50" w14:textId="77777777" w:rsidR="000C788F" w:rsidRPr="004D5BD1" w:rsidRDefault="000C788F">
      <w:pPr>
        <w:rPr>
          <w:rFonts w:ascii="Times New Roman" w:hAnsi="Times New Roman" w:cs="Times New Roman"/>
          <w:sz w:val="24"/>
          <w:szCs w:val="24"/>
        </w:rPr>
      </w:pPr>
    </w:p>
    <w:sectPr w:rsidR="000C788F" w:rsidRPr="004D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C"/>
    <w:rsid w:val="000C788F"/>
    <w:rsid w:val="001E5FAC"/>
    <w:rsid w:val="004D5BD1"/>
    <w:rsid w:val="00B3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64ED-170D-48C3-B71F-791439C8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1"/>
    <w:rPr>
      <w:color w:val="0563C1" w:themeColor="hyperlink"/>
      <w:u w:val="single"/>
    </w:rPr>
  </w:style>
  <w:style w:type="character" w:styleId="a4">
    <w:name w:val="Unresolved Mention"/>
    <w:basedOn w:val="a0"/>
    <w:uiPriority w:val="99"/>
    <w:semiHidden/>
    <w:unhideWhenUsed/>
    <w:rsid w:val="004D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26871">
      <w:bodyDiv w:val="1"/>
      <w:marLeft w:val="0"/>
      <w:marRight w:val="0"/>
      <w:marTop w:val="0"/>
      <w:marBottom w:val="0"/>
      <w:divBdr>
        <w:top w:val="none" w:sz="0" w:space="0" w:color="auto"/>
        <w:left w:val="none" w:sz="0" w:space="0" w:color="auto"/>
        <w:bottom w:val="none" w:sz="0" w:space="0" w:color="auto"/>
        <w:right w:val="none" w:sz="0" w:space="0" w:color="auto"/>
      </w:divBdr>
      <w:divsChild>
        <w:div w:id="612976085">
          <w:marLeft w:val="0"/>
          <w:marRight w:val="0"/>
          <w:marTop w:val="0"/>
          <w:marBottom w:val="0"/>
          <w:divBdr>
            <w:top w:val="none" w:sz="0" w:space="0" w:color="auto"/>
            <w:left w:val="none" w:sz="0" w:space="0" w:color="auto"/>
            <w:bottom w:val="none" w:sz="0" w:space="0" w:color="auto"/>
            <w:right w:val="none" w:sz="0" w:space="0" w:color="auto"/>
          </w:divBdr>
        </w:div>
        <w:div w:id="467746817">
          <w:marLeft w:val="0"/>
          <w:marRight w:val="0"/>
          <w:marTop w:val="0"/>
          <w:marBottom w:val="0"/>
          <w:divBdr>
            <w:top w:val="none" w:sz="0" w:space="0" w:color="auto"/>
            <w:left w:val="none" w:sz="0" w:space="0" w:color="auto"/>
            <w:bottom w:val="none" w:sz="0" w:space="0" w:color="auto"/>
            <w:right w:val="none" w:sz="0" w:space="0" w:color="auto"/>
          </w:divBdr>
        </w:div>
        <w:div w:id="2071267709">
          <w:marLeft w:val="0"/>
          <w:marRight w:val="0"/>
          <w:marTop w:val="0"/>
          <w:marBottom w:val="0"/>
          <w:divBdr>
            <w:top w:val="none" w:sz="0" w:space="0" w:color="auto"/>
            <w:left w:val="none" w:sz="0" w:space="0" w:color="auto"/>
            <w:bottom w:val="none" w:sz="0" w:space="0" w:color="auto"/>
            <w:right w:val="none" w:sz="0" w:space="0" w:color="auto"/>
          </w:divBdr>
        </w:div>
        <w:div w:id="160972553">
          <w:marLeft w:val="0"/>
          <w:marRight w:val="0"/>
          <w:marTop w:val="0"/>
          <w:marBottom w:val="0"/>
          <w:divBdr>
            <w:top w:val="none" w:sz="0" w:space="0" w:color="auto"/>
            <w:left w:val="none" w:sz="0" w:space="0" w:color="auto"/>
            <w:bottom w:val="none" w:sz="0" w:space="0" w:color="auto"/>
            <w:right w:val="none" w:sz="0" w:space="0" w:color="auto"/>
          </w:divBdr>
        </w:div>
        <w:div w:id="1623413961">
          <w:marLeft w:val="0"/>
          <w:marRight w:val="0"/>
          <w:marTop w:val="0"/>
          <w:marBottom w:val="0"/>
          <w:divBdr>
            <w:top w:val="none" w:sz="0" w:space="0" w:color="auto"/>
            <w:left w:val="none" w:sz="0" w:space="0" w:color="auto"/>
            <w:bottom w:val="none" w:sz="0" w:space="0" w:color="auto"/>
            <w:right w:val="none" w:sz="0" w:space="0" w:color="auto"/>
          </w:divBdr>
        </w:div>
        <w:div w:id="1139302718">
          <w:marLeft w:val="0"/>
          <w:marRight w:val="0"/>
          <w:marTop w:val="0"/>
          <w:marBottom w:val="0"/>
          <w:divBdr>
            <w:top w:val="none" w:sz="0" w:space="0" w:color="auto"/>
            <w:left w:val="none" w:sz="0" w:space="0" w:color="auto"/>
            <w:bottom w:val="none" w:sz="0" w:space="0" w:color="auto"/>
            <w:right w:val="none" w:sz="0" w:space="0" w:color="auto"/>
          </w:divBdr>
        </w:div>
        <w:div w:id="930966984">
          <w:marLeft w:val="0"/>
          <w:marRight w:val="0"/>
          <w:marTop w:val="0"/>
          <w:marBottom w:val="0"/>
          <w:divBdr>
            <w:top w:val="none" w:sz="0" w:space="0" w:color="auto"/>
            <w:left w:val="none" w:sz="0" w:space="0" w:color="auto"/>
            <w:bottom w:val="none" w:sz="0" w:space="0" w:color="auto"/>
            <w:right w:val="none" w:sz="0" w:space="0" w:color="auto"/>
          </w:divBdr>
        </w:div>
      </w:divsChild>
    </w:div>
    <w:div w:id="2068414248">
      <w:bodyDiv w:val="1"/>
      <w:marLeft w:val="0"/>
      <w:marRight w:val="0"/>
      <w:marTop w:val="0"/>
      <w:marBottom w:val="0"/>
      <w:divBdr>
        <w:top w:val="none" w:sz="0" w:space="0" w:color="auto"/>
        <w:left w:val="none" w:sz="0" w:space="0" w:color="auto"/>
        <w:bottom w:val="none" w:sz="0" w:space="0" w:color="auto"/>
        <w:right w:val="none" w:sz="0" w:space="0" w:color="auto"/>
      </w:divBdr>
      <w:divsChild>
        <w:div w:id="71120990">
          <w:marLeft w:val="0"/>
          <w:marRight w:val="0"/>
          <w:marTop w:val="0"/>
          <w:marBottom w:val="0"/>
          <w:divBdr>
            <w:top w:val="none" w:sz="0" w:space="0" w:color="auto"/>
            <w:left w:val="none" w:sz="0" w:space="0" w:color="auto"/>
            <w:bottom w:val="none" w:sz="0" w:space="0" w:color="auto"/>
            <w:right w:val="none" w:sz="0" w:space="0" w:color="auto"/>
          </w:divBdr>
        </w:div>
        <w:div w:id="341207678">
          <w:marLeft w:val="0"/>
          <w:marRight w:val="0"/>
          <w:marTop w:val="0"/>
          <w:marBottom w:val="0"/>
          <w:divBdr>
            <w:top w:val="none" w:sz="0" w:space="0" w:color="auto"/>
            <w:left w:val="none" w:sz="0" w:space="0" w:color="auto"/>
            <w:bottom w:val="none" w:sz="0" w:space="0" w:color="auto"/>
            <w:right w:val="none" w:sz="0" w:space="0" w:color="auto"/>
          </w:divBdr>
        </w:div>
        <w:div w:id="2041857994">
          <w:marLeft w:val="0"/>
          <w:marRight w:val="0"/>
          <w:marTop w:val="0"/>
          <w:marBottom w:val="0"/>
          <w:divBdr>
            <w:top w:val="none" w:sz="0" w:space="0" w:color="auto"/>
            <w:left w:val="none" w:sz="0" w:space="0" w:color="auto"/>
            <w:bottom w:val="none" w:sz="0" w:space="0" w:color="auto"/>
            <w:right w:val="none" w:sz="0" w:space="0" w:color="auto"/>
          </w:divBdr>
        </w:div>
        <w:div w:id="865489324">
          <w:marLeft w:val="0"/>
          <w:marRight w:val="0"/>
          <w:marTop w:val="0"/>
          <w:marBottom w:val="0"/>
          <w:divBdr>
            <w:top w:val="none" w:sz="0" w:space="0" w:color="auto"/>
            <w:left w:val="none" w:sz="0" w:space="0" w:color="auto"/>
            <w:bottom w:val="none" w:sz="0" w:space="0" w:color="auto"/>
            <w:right w:val="none" w:sz="0" w:space="0" w:color="auto"/>
          </w:divBdr>
        </w:div>
        <w:div w:id="1523670822">
          <w:marLeft w:val="0"/>
          <w:marRight w:val="0"/>
          <w:marTop w:val="0"/>
          <w:marBottom w:val="0"/>
          <w:divBdr>
            <w:top w:val="none" w:sz="0" w:space="0" w:color="auto"/>
            <w:left w:val="none" w:sz="0" w:space="0" w:color="auto"/>
            <w:bottom w:val="none" w:sz="0" w:space="0" w:color="auto"/>
            <w:right w:val="none" w:sz="0" w:space="0" w:color="auto"/>
          </w:divBdr>
        </w:div>
        <w:div w:id="1466121187">
          <w:marLeft w:val="0"/>
          <w:marRight w:val="0"/>
          <w:marTop w:val="0"/>
          <w:marBottom w:val="0"/>
          <w:divBdr>
            <w:top w:val="none" w:sz="0" w:space="0" w:color="auto"/>
            <w:left w:val="none" w:sz="0" w:space="0" w:color="auto"/>
            <w:bottom w:val="none" w:sz="0" w:space="0" w:color="auto"/>
            <w:right w:val="none" w:sz="0" w:space="0" w:color="auto"/>
          </w:divBdr>
        </w:div>
        <w:div w:id="206282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8136/85f7dc8994f991a1132725df3886eeefc605e1b9/" TargetMode="External"/><Relationship Id="rId13" Type="http://schemas.openxmlformats.org/officeDocument/2006/relationships/hyperlink" Target="https://www.consultant.ru/document/cons_doc_LAW_202834/c9c4669a25e1caa475c8e192feb7dd95a86a59ee/" TargetMode="External"/><Relationship Id="rId3" Type="http://schemas.openxmlformats.org/officeDocument/2006/relationships/webSettings" Target="webSettings.xml"/><Relationship Id="rId7" Type="http://schemas.openxmlformats.org/officeDocument/2006/relationships/hyperlink" Target="https://www.consultant.ru/document/cons_doc_LAW_58136/85f7dc8994f991a1132725df3886eeefc605e1b9/" TargetMode="External"/><Relationship Id="rId12" Type="http://schemas.openxmlformats.org/officeDocument/2006/relationships/hyperlink" Target="https://www.consultant.ru/document/cons_doc_LAW_441707/fa69e15a74de57cbe09d347462434c11fcfeea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314945/855f40ae6abe0cf312d2abd9e53f99c83d110f6c/" TargetMode="External"/><Relationship Id="rId11" Type="http://schemas.openxmlformats.org/officeDocument/2006/relationships/hyperlink" Target="https://www.consultant.ru/document/cons_doc_LAW_441707/fa69e15a74de57cbe09d347462434c11fcfeeaca/" TargetMode="External"/><Relationship Id="rId5" Type="http://schemas.openxmlformats.org/officeDocument/2006/relationships/hyperlink" Target="https://www.consultant.ru/document/cons_doc_LAW_58136/85f7dc8994f991a1132725df3886eeefc605e1b9/" TargetMode="External"/><Relationship Id="rId15" Type="http://schemas.openxmlformats.org/officeDocument/2006/relationships/hyperlink" Target="https://www.consultant.ru/document/cons_doc_LAW_441707/f12eee2139eb6a18ccbc982adaedb7f2b4e36d69/" TargetMode="External"/><Relationship Id="rId10" Type="http://schemas.openxmlformats.org/officeDocument/2006/relationships/hyperlink" Target="https://www.consultant.ru/document/cons_doc_LAW_441707/1c17f9d70a4a958c3c171084dfdfe6836111a84e/" TargetMode="External"/><Relationship Id="rId4" Type="http://schemas.openxmlformats.org/officeDocument/2006/relationships/hyperlink" Target="https://www.consultant.ru/document/cons_doc_LAW_314945/855f40ae6abe0cf312d2abd9e53f99c83d110f6c/" TargetMode="External"/><Relationship Id="rId9" Type="http://schemas.openxmlformats.org/officeDocument/2006/relationships/hyperlink" Target="https://www.consultant.ru/document/cons_doc_LAW_58136/85f7dc8994f991a1132725df3886eeefc605e1b9/" TargetMode="External"/><Relationship Id="rId14" Type="http://schemas.openxmlformats.org/officeDocument/2006/relationships/hyperlink" Target="https://www.consultant.ru/document/cons_doc_LAW_58136/85f7dc8994f991a1132725df3886eeefc605e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10417</Characters>
  <Application>Microsoft Office Word</Application>
  <DocSecurity>0</DocSecurity>
  <Lines>86</Lines>
  <Paragraphs>24</Paragraphs>
  <ScaleCrop>false</ScaleCrop>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Тимошкеева Татьяна</dc:creator>
  <cp:keywords/>
  <dc:description/>
  <cp:lastModifiedBy>Тимошкеева Татьяна</cp:lastModifiedBy>
  <cp:revision>2</cp:revision>
  <dcterms:created xsi:type="dcterms:W3CDTF">2024-07-02T08:32:00Z</dcterms:created>
  <dcterms:modified xsi:type="dcterms:W3CDTF">2024-07-02T08:33:00Z</dcterms:modified>
</cp:coreProperties>
</file>